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50012C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50012C">
        <w:rPr>
          <w:rFonts w:ascii="Verdana" w:hAnsi="Verdana"/>
          <w:i/>
        </w:rPr>
        <w:t>Załącznik nr 1 do SWZ</w:t>
      </w:r>
    </w:p>
    <w:p w:rsidR="00853DE7" w:rsidRPr="0050012C" w:rsidRDefault="00BC03EE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>
        <w:rPr>
          <w:rFonts w:ascii="Verdana" w:hAnsi="Verdana" w:cstheme="minorHAnsi"/>
        </w:rPr>
        <w:t>Znak postępowania IT.271.2</w:t>
      </w:r>
      <w:r w:rsidR="00853DE7" w:rsidRPr="0050012C">
        <w:rPr>
          <w:rFonts w:ascii="Verdana" w:hAnsi="Verdana" w:cstheme="minorHAnsi"/>
        </w:rPr>
        <w:t>.</w:t>
      </w:r>
      <w:r>
        <w:rPr>
          <w:rFonts w:ascii="Verdana" w:hAnsi="Verdana" w:cstheme="minorHAnsi"/>
        </w:rPr>
        <w:t>0</w:t>
      </w:r>
      <w:r w:rsidR="00853DE7" w:rsidRPr="0050012C">
        <w:rPr>
          <w:rFonts w:ascii="Verdana" w:hAnsi="Verdana" w:cstheme="minorHAnsi"/>
        </w:rPr>
        <w:t>1.2026.MS</w:t>
      </w:r>
    </w:p>
    <w:p w:rsidR="00853DE7" w:rsidRPr="0050012C" w:rsidRDefault="00853DE7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 w:rsidRPr="0050012C">
        <w:rPr>
          <w:rFonts w:ascii="Verdana" w:hAnsi="Verdana" w:cstheme="minorHAnsi"/>
          <w:sz w:val="28"/>
          <w:szCs w:val="20"/>
        </w:rPr>
        <w:t>Szczegółowy Opis Przedmiotu Zamówienia</w:t>
      </w:r>
    </w:p>
    <w:p w:rsidR="00853DE7" w:rsidRDefault="00853DE7" w:rsidP="00853DE7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 w:rsidRPr="0050012C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50012C">
        <w:rPr>
          <w:rFonts w:ascii="Verdana" w:hAnsi="Verdana" w:cstheme="minorHAnsi"/>
          <w:b/>
          <w:bCs/>
          <w:smallCaps/>
        </w:rPr>
        <w:t xml:space="preserve">Zakup sprzętu wraz z usługami wdrożenia </w:t>
      </w:r>
      <w:r w:rsidR="009A26B9">
        <w:rPr>
          <w:rFonts w:ascii="Verdana" w:hAnsi="Verdana" w:cstheme="minorHAnsi"/>
          <w:b/>
          <w:bCs/>
          <w:smallCaps/>
        </w:rPr>
        <w:br/>
      </w:r>
      <w:r w:rsidRPr="0050012C">
        <w:rPr>
          <w:rFonts w:ascii="Verdana" w:hAnsi="Verdana" w:cstheme="minorHAnsi"/>
          <w:b/>
          <w:bCs/>
          <w:smallCaps/>
        </w:rPr>
        <w:t>i szkolenia administratorów w ramach projektu „Cyberbezpieczny Samorząd”</w:t>
      </w:r>
    </w:p>
    <w:p w:rsidR="009A26B9" w:rsidRPr="0050012C" w:rsidRDefault="009A26B9" w:rsidP="00853DE7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</w:p>
    <w:p w:rsidR="009A26B9" w:rsidRPr="001F149C" w:rsidRDefault="009A26B9" w:rsidP="009A26B9">
      <w:pPr>
        <w:pStyle w:val="Akapitzlist"/>
        <w:keepNext/>
        <w:keepLines/>
        <w:numPr>
          <w:ilvl w:val="0"/>
          <w:numId w:val="43"/>
        </w:numPr>
        <w:spacing w:before="0" w:after="0"/>
        <w:ind w:left="426" w:hanging="426"/>
        <w:jc w:val="both"/>
        <w:outlineLvl w:val="0"/>
        <w:rPr>
          <w:rFonts w:ascii="Verdana" w:eastAsiaTheme="majorEastAsia" w:hAnsi="Verdana" w:cstheme="majorBidi"/>
          <w:b/>
          <w:sz w:val="20"/>
          <w:szCs w:val="20"/>
        </w:rPr>
      </w:pPr>
      <w:r w:rsidRPr="001F149C">
        <w:rPr>
          <w:rFonts w:ascii="Verdana" w:eastAsiaTheme="majorEastAsia" w:hAnsi="Verdana" w:cstheme="majorBidi"/>
          <w:b/>
          <w:sz w:val="20"/>
          <w:szCs w:val="20"/>
        </w:rPr>
        <w:t>Ogólne warunki realizacji zamówienia: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Przedmiot zamówienia obejmuje dostawy do siedziby Zamawiającego, tj. Urzędu Gminy Stary Brus w zakresie i ilościach wskazanych w zestawieniu rzeczowo – ilościowym.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Dostarczany sprzęt i oprogramowanie muszą być fabrycznie nowe, nieużywane, nieuszkodzone i nieobciążone prawami osób trzecich.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Oferowane urządzenia w dniu składania ofert nie mogą być przeznaczone przez producenta do wycofania z produkcji (tzw. End of Life).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Dostarczany sprzęt i oprogramowanie muszą pochodzić z oficjalnego kanału dystrybucyjnego w UE.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zapewni takie opakowanie sprzętu jakie jest wymagane, żeby nie dopuścić do jego uszkodzenia lub pogorszenia jego jakości w trakcie transportu do miejsca dostawy.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Sprzęt będzie oznaczony zgodnie z obowiązującymi przepisami, a w szczególności znakami bezpieczeństwa.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Zamawiający dopuszcza rozwiązania równoważne. Ogólne zasady równoważności rozwiązań: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 równoważne do wyspecyfikowanego rozwiązania Zamawiający uzna rozwiązanie o tym samym przeznaczeniu, cechach technicznych, jakościowych i funkcjonalnych odpowiadających cechom technicznym, jakościowym i funkcjonalnym wskazanych w opisie przedmiotu zamówienia, lub lepszych, oznaczonych innym znakiem towarowym, patentem lub pochodzeniem.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Rozwiązanie równoważne musi pozwalać na zrealizowanie zakładanego przez Zamawiającego celu poprzez parametry wydajnościowe i funkcjonalne, mające wpływ na skuteczność działania, takie same lub lepsze od wskazanych wymagań minimalnych.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Użycie w opisie przedmiotu zamówienia nazw rozwiązań, materiałów i urządzeń służy ustaleniu minimalnego standardu wykonania i określenia właściwości i wymogów technicznych założonych w dokumentacji technicznej dla projektowanych rozwiązań.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zobligowany jest do wykazania, że oferowane rozwiązania równoważne spełnią zakładane wymagania minimalne.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Brak określenia „minimum” oznacza wymaganie na poziomie minimalnym, a Wykonawca może zaoferować rozwiązanie o lepszych parametrach.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 celu zachowania zasad neutralności technologicznej i konkurencyjności dopuszcza się rozwiązania równoważne do wyspecyfikowanych, przy czym za rozwiązanie równoważne uważa się takie rozwiązanie, które pod względem technologii, wydajności i funkcjonalności nie odbiega lub jest lepsze od technologii funkcjonalności i wydajności wyszczególnionych w rozwiązaniu wyspecyfikowanym.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W związku z tym, Wykonawca może zaproponować rozwiązania, które realizują takie same funkcjonalności wyspecyfikowane przez Zamawiającego w inny, niż podany sposób.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Przez bardzo zbliżoną (podobną) wartość użytkową rozumie się podobne, z dopuszczeniem nieznacznych różnic niewpływających w żadnym stopniu na całokształt systemu, zachowanie oraz realizowanie podobnych funkcjonalności w danych warunkach, dla których to warunków rozwiązania te są dedykowane. Rozwiązanie równoważne musi zawierać dokumentację potwierdzającą, że spełnia wymagania funkcjonalne Zamawiającego, w tym wyniki porównań, testów czy możliwości oferowanych przez to rozwiązanie w odniesieniu do rozwiązania wyspecyfikowanego.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Dodatkowo, wszędzie tam, gdzie zostało wskazane pochodzenie (marka, znak towarowy, producent, dostawca itp.) materiałów lub normy, aprobaty, specyfikacje i systemy, o których mowa w ustawie Prawo Zamówień Publicznych (zwana dalej ustawą), Zamawiający dopuszcza oferowanie sprzętu lub rozwiązań równoważnych pod warunkiem, że zapewnią uzyskanie parametrów technicznych takich samych lub lepszych niż wymagane przez Zamawiającego w dokumentacji przetargowej. Zamawiający dopuszcza oferowanie materiałów lub urządzeń równoważnych. Materiały lub urządzenia pochodzące od konkretnych producentów określają minimalne parametry jakościowe i 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 jedynie na celu doprecyzowanie poziomu oczekiwań Zamawiającego w stosunku do określonego rozwiązania. Posługiwanie się nazwami producentów / produktów ma wyłącznie charakter przykładowy. Zamawiający, wskazując oznaczenie konkretnego producenta (dostawcy), konkretny produkt lub </w:t>
      </w:r>
      <w:r w:rsidRPr="00853DE7">
        <w:rPr>
          <w:rFonts w:ascii="Verdana" w:hAnsi="Verdana"/>
          <w:sz w:val="20"/>
          <w:szCs w:val="20"/>
        </w:rPr>
        <w:lastRenderedPageBreak/>
        <w:t>materiały przy opisie przedmiotu zamówienia, dopuszcza jednocześnie produkty równoważne o parametrach jakościowych i cechach użytkowych co najmniej na poziomie parametrów wskazanego produktu, uznając tym samym każdy produkt o wskazanych lub lepszych parametrach. Zamawiający opisując przedmiot zamówienia przy pomocy określonych norm, aprobat czy specyfikacji technicznych i systemów odniesienia dopuszcza rozwiązania równoważne opisywanym. Wykonawca, który powołuje się na rozwiązania równoważne opisywanym przez Zamawiającego, jest obowiązany wykazać, że oferowane przez niego dostawy spełniają wymagania określone przez Zamawiającego. W takiej sytuacji Zamawiający wymaga złożenia stosownych dokumentów uwiarygodniających te rozwiązania.</w:t>
      </w:r>
    </w:p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agwek2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Zestawienie rzeczowo – ilościowe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07"/>
        <w:gridCol w:w="1123"/>
      </w:tblGrid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Przedmiot dostawy/usługi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Ilość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UTM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serwera NAS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serwera do archiwizacji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oprogramowania do backupu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UPS serwerowego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  <w:hideMark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bookmarkStart w:id="0" w:name="_Hlk217142171"/>
            <w:r w:rsidRPr="00853DE7">
              <w:rPr>
                <w:rFonts w:ascii="Verdana" w:hAnsi="Verdana"/>
                <w:sz w:val="20"/>
                <w:szCs w:val="20"/>
              </w:rPr>
              <w:t>Zakup usług wdrożenia zakupionych rozwiązań</w:t>
            </w:r>
          </w:p>
        </w:tc>
        <w:tc>
          <w:tcPr>
            <w:tcW w:w="1123" w:type="dxa"/>
            <w:vAlign w:val="center"/>
            <w:hideMark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bookmarkEnd w:id="0"/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usług szkolenia administratora IT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0369DB" w:rsidRDefault="009A26B9" w:rsidP="009A26B9">
      <w:pPr>
        <w:pStyle w:val="Numeracja"/>
        <w:keepNext/>
        <w:numPr>
          <w:ilvl w:val="0"/>
          <w:numId w:val="43"/>
        </w:numPr>
        <w:rPr>
          <w:sz w:val="20"/>
        </w:rPr>
      </w:pPr>
      <w:r w:rsidRPr="000369DB">
        <w:rPr>
          <w:sz w:val="20"/>
        </w:rPr>
        <w:t>Nomenklatura Wspólnego Słownika Zamówień  - Nazwy i Kody CPV: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Główny kod CPV:  48820000-2 Serwery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Dodatkowy kod CPV: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30233000-1 Urządzenie do przechowywania i odczytu danych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bookmarkStart w:id="1" w:name="_Hlk173075405"/>
      <w:r w:rsidRPr="001F149C">
        <w:rPr>
          <w:rFonts w:ascii="Verdana" w:hAnsi="Verdana"/>
          <w:sz w:val="20"/>
        </w:rPr>
        <w:t>32420000-3 Urządzenie sieciowe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35120000-1 Systemy i urządzenia nadzoru i bezpieczeństwa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31682530-4 Awaryjne urządzenia energetyczne</w:t>
      </w:r>
    </w:p>
    <w:bookmarkEnd w:id="1"/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48000000-8 Pakiety oprogramowania i systemy informatyczne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48422000-2 Zestawy pakietów oprogramowania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48600000-4 Pakiety oprogramowania dla baz danych i operacyjne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48900000-7 Różne pakiety oprogramowania i systemy komputerowe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72263000-6 Usługi wdrażania oprogramowania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80510000-2 Usł</w:t>
      </w:r>
      <w:r>
        <w:rPr>
          <w:rFonts w:ascii="Verdana" w:hAnsi="Verdana"/>
          <w:sz w:val="20"/>
        </w:rPr>
        <w:t>ugi szkolenia specjalistycznego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80531200-7 Usługi szkolenia technicznego</w:t>
      </w:r>
    </w:p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9A26B9" w:rsidRDefault="009A26B9" w:rsidP="009A26B9">
      <w:pPr>
        <w:pStyle w:val="Nagwek1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Szczegółowe warunki dostawy:</w:t>
      </w:r>
    </w:p>
    <w:p w:rsidR="009A26B9" w:rsidRPr="001F149C" w:rsidRDefault="009A26B9" w:rsidP="009A26B9">
      <w:pPr>
        <w:pStyle w:val="numeracja2"/>
      </w:pPr>
      <w:r w:rsidRPr="001F149C">
        <w:t>Zakup UTM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63"/>
        <w:gridCol w:w="7626"/>
      </w:tblGrid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Wymagania ogólne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Dostarczony system bezpieczeństwa musi zapewniać wszystkie wymienione poniżej funkcje sieciowe i  bezpieczeństwa niezależnie od dostawcy łącza.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realizujący funkcję firewall musi dawać możliwość pracy w jednym z trzech trybów: routera z funkcją NAT, transparentnym oraz monitorowania na porcie SPAN.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musi wspierać IPv4 oraz IPv6 w zakresie: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Firewall.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Ochrony w warstwie aplikacji.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Protokołów routingu dynamicznego.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Redundancja, monitoring i wykrywanie awarii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Dla funkcji: firewall,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, kontrola aplikacji oraz IPS – musi istnieć możliwość łączenia w klaster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active-active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lub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active-passive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. W obu trybach powinna istnieć funkcja synchronizacji sesji firewall. </w:t>
            </w:r>
          </w:p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Monitoring i wykrywanie uszkodzenia elementów sprzętowych i programowych systemów zabezpieczeń oraz łączy sieciowych.</w:t>
            </w:r>
          </w:p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Monitoring stanu realizowanych połączeń VPN.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Interfejsy, przestrzeń dyskowa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System realizujący funkcję firewall musi dysponować minimum </w:t>
            </w:r>
            <w:r>
              <w:rPr>
                <w:rFonts w:ascii="Verdana" w:hAnsi="Verdana"/>
                <w:bCs/>
                <w:sz w:val="20"/>
                <w:szCs w:val="20"/>
              </w:rPr>
              <w:t>6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portami Gigabit Ethernet RJ-45.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firewall musi posiadać wbudowany port konsoli szeregowej oraz gniazdo USB umożliwiające podłączenie modemu 3G/4G oraz instalacji oprogramowania z klucza USB.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 ramach systemu firewall powinna być możliwość zdefiniowania co najmniej 200 interfejsów wirtualnych - definiowanych jako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VLAN’y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w oparciu o standard 802.1Q.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realizujący funkcję Firewall musi być wyposażony w lokalną przestrzeń dyskową o pojemności minimum 128 GB.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Wydajność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 zakresie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frewall’a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obsługa nie mniej niż 1,4 mln jednoczesnych połączeń oraz 100 tys. nowych połączeń na sekundę.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Przepustowość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stateful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firewall: nie mniej niż 10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dla pakietów 512 B.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Przepustowość firewall z włączoną funkcją kontroli aplikacji: nie mniej niż 3,6Gbps.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szyfrowania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VPN nie mniej niż 7Gbps.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clientside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jak i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serverside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w ramach modułu IPS) dla ruchu Enterprise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Traffic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Mix - minimum 2,5Gbps.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Wydajność skanowania ruchu typu Enterprise Mix z włączonymi funkcjami: IPS, kontrola aplikacji, antywirus - minimum 1,3Gbps.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systemu w zakresie inspekcji komunikacji szyfrowanej SSL dla ruchu http – minimum 1,4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systemu bezpieczeństwa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 ramach dostarczonego systemu ochrony muszą być realizowane wszystkie poniższe funkcje. Mogą one być zrealizowane w postaci osobnych, komercyjnych platform sprzętowych lub programowych: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dostępu - zapora ogniowa klasy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StatefulInspection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Kontrola Aplikacji.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Poufność transmisji danych  - połączenia szyfrowane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VPN oraz SSL VPN.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– co najmniej dla protokołów SMTP, POP3, IMAP, HTTP, FTP, HTTPS.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atakami  -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IntrusionPrevention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System.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stron WWW.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zawartości poczty –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Antyspam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dla protokołów SMTP, POP3.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 pasmem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QoS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Trafficshaping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).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Mechanizmy ochrony przed wyciekiem poufnej informacji (DLP).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Dwu-składnikowe uwierzytelnianie z wykorzystaniem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tokenów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sprzętowych lub programowych. W ramach postępowania powinny zostać dostarczone co najmniej 2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tokeny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sprzętowe lub programowe, które będą zastosowane do dwu-składnikowego uwierzytelnienia administratorów lub w ramach połączeń VPN typu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client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-to-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site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Analiza ruchu szyfrowanego protokołem SSL także dla protokołu HTTP/2.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Funkcja lokalnego serwera DNS ze wsparciem dla DNS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TLS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DoT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) oraz DNS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HTTPS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DoH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) z możliwością filtrowania zapytań DNS na lokalnym serwerze DNS jak i w ruchu przechodzącym przez system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Polityki firewall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Polityka Firewall musi uwzględniać adresy IP, użytkowników, protokoły, usługi sieciowe, aplikacje lub zbiory aplikacji, reakcje zabezpieczeń, rejestrowanie zdarzeń. 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musi zapewniać translację adresów NAT: źródłowego i docelowego, translację PAT oraz:</w:t>
            </w:r>
          </w:p>
          <w:p w:rsidR="009A26B9" w:rsidRPr="00853DE7" w:rsidRDefault="009A26B9" w:rsidP="00DB4461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Translację jeden do jeden oraz jeden do wielu.</w:t>
            </w:r>
          </w:p>
          <w:p w:rsidR="009A26B9" w:rsidRPr="00853DE7" w:rsidRDefault="009A26B9" w:rsidP="00DB4461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>Dedykowany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ALG (Application Level Gateway)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>dlaprotokołu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SIP. 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 ramach systemu musi istnieć możliwość tworzenia wydzielonych stref bezpieczeństwa np. DMZ, LAN, WAN.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Możliwość wykorzystania w polityce bezpieczeństwa zewnętrznych repozytoriów zawierających: kategorie URL, adresy IP, nazwy domenowe,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hashe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złośliwych plików.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Połączenia VPN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umożliwiać konfigurację połączeń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VPN. W zakresie tej funkcji musi zapewniać:</w:t>
            </w:r>
          </w:p>
          <w:p w:rsidR="009A26B9" w:rsidRPr="00853DE7" w:rsidRDefault="009A26B9" w:rsidP="00DB4461">
            <w:pPr>
              <w:numPr>
                <w:ilvl w:val="0"/>
                <w:numId w:val="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IKE v1 oraz v2.</w:t>
            </w:r>
          </w:p>
          <w:p w:rsidR="009A26B9" w:rsidRPr="00853DE7" w:rsidRDefault="009A26B9" w:rsidP="00DB4461">
            <w:pPr>
              <w:numPr>
                <w:ilvl w:val="0"/>
                <w:numId w:val="4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szyfrowania protokołem AES z kluczem 128 i 256 bitów w trybie pracy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Galois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CounterMode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(GCM).</w:t>
            </w:r>
          </w:p>
          <w:p w:rsidR="009A26B9" w:rsidRPr="00853DE7" w:rsidRDefault="009A26B9" w:rsidP="00DB4461">
            <w:pPr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protokołu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Diffie-Hellman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 grup 19 i 20.</w:t>
            </w:r>
          </w:p>
          <w:p w:rsidR="009A26B9" w:rsidRPr="00853DE7" w:rsidRDefault="009A26B9" w:rsidP="00DB4461">
            <w:pPr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Spoke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Mesh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w tym wsparcie dla dynamicznego zestawiania tuneli pomiędzy SPOKE w topologii HUB and SPOKE.</w:t>
            </w:r>
          </w:p>
          <w:p w:rsidR="009A26B9" w:rsidRPr="00853DE7" w:rsidRDefault="009A26B9" w:rsidP="00DB4461">
            <w:pPr>
              <w:numPr>
                <w:ilvl w:val="0"/>
                <w:numId w:val="7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Tworzenie połączeń typu Site-to-Site oraz Client-to-Site.</w:t>
            </w:r>
          </w:p>
          <w:p w:rsidR="009A26B9" w:rsidRPr="00853DE7" w:rsidRDefault="009A26B9" w:rsidP="00DB4461">
            <w:pPr>
              <w:numPr>
                <w:ilvl w:val="0"/>
                <w:numId w:val="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Monitorowanie stanu tuneli VPN i stałego utrzymywania ich aktywności.</w:t>
            </w:r>
          </w:p>
          <w:p w:rsidR="009A26B9" w:rsidRPr="00853DE7" w:rsidRDefault="009A26B9" w:rsidP="00DB4461">
            <w:pPr>
              <w:numPr>
                <w:ilvl w:val="0"/>
                <w:numId w:val="9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:rsidR="009A26B9" w:rsidRPr="00853DE7" w:rsidRDefault="009A26B9" w:rsidP="00DB4461">
            <w:pPr>
              <w:numPr>
                <w:ilvl w:val="0"/>
                <w:numId w:val="10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mechanizmów: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NAT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Traversal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DPD,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Xauth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1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Mechanizm „Split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” dla połączeń Client-to-Site.</w:t>
            </w:r>
          </w:p>
          <w:p w:rsidR="009A26B9" w:rsidRPr="00853DE7" w:rsidRDefault="009A26B9" w:rsidP="00DB4461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konfigurację połączeń typu SSL VPN. W zakresie tej funkcji musi zapewniać:</w:t>
            </w:r>
          </w:p>
          <w:p w:rsidR="009A26B9" w:rsidRPr="00853DE7" w:rsidRDefault="009A26B9" w:rsidP="00DB4461">
            <w:pPr>
              <w:numPr>
                <w:ilvl w:val="0"/>
                <w:numId w:val="12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Pracę w trybie Portal  - gdzie dostęp do chronionych zasobów realizowany jest za pośrednictwem przeglądarki. W tym zakresie system musi zapewniać stronę komunikacyjną działającą w oparciu o HTML 5.0.</w:t>
            </w:r>
          </w:p>
          <w:p w:rsidR="009A26B9" w:rsidRPr="00853DE7" w:rsidRDefault="009A26B9" w:rsidP="00DB4461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Pracę w trybie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 możliwością włączenia funkcji „Split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” przy zastosowaniu dedykowanego klienta.</w:t>
            </w:r>
          </w:p>
          <w:p w:rsidR="009A26B9" w:rsidRPr="00853DE7" w:rsidRDefault="009A26B9" w:rsidP="00DB4461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Producent rozwiązania musi dostarczać oprogramowanie klienckie VPN, które umożliwia realizację połączeń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VPN lub SSL VPN.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Routing i obsługa łączy WAN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zakresie routingu rozwiązanie powinno zapewniać obsługę: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 xml:space="preserve">Routingu statycznego. 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 xml:space="preserve">Policy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Based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Routingu.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>Protokołów dynamicznego routingu w oparciu o protokoły: RIPv2, OSPF, BGP oraz PIM.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SD-WAN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powinien umożliwiać wykorzystanie protokołów dynamicznego routingu przy konfiguracji równoważenia obciążenia do łączy WAN.</w:t>
            </w:r>
          </w:p>
          <w:p w:rsidR="009A26B9" w:rsidRPr="00853DE7" w:rsidRDefault="009A26B9" w:rsidP="00DB4461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Reguły SD-WAN powinny umożliwiać określenie aplikacji jako argumentu dla kierowania ruchu.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 pasmem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Firewall musi umożliwiać zarządzanie pasmem poprzez określenie: maksymalnej, gwarantowanej ilości pasma,  oznaczanie DSCP oraz wskazanie priorytetu ruchu.</w:t>
            </w:r>
          </w:p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istnieć możliwość określania pasma dla poszczególnych aplikacji.</w:t>
            </w:r>
          </w:p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zapewniać możliwość zarządzania pasmem dla wybranych kategorii URL.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Silnik antywirusowy musi umożliwiać skanowanie ruchu w obu kierunkach komunikacji dla protokołów działających na niestandardowych portach (np. FTP na porcie 2021).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skanowanie archiwów, w tym co najmniej: zip, RAR.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dysponować sygnaturami do ochrony urządzeń mobilnych (co najmniej dla systemu operacyjnego Android).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współpracować z dedykowaną platformą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lub usługą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realizowaną w chmurze. W ramach postępowania musi zostać dostarczona platforma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wraz z niezbędnymi serwisami lub licencja upoważniająca do korzystania z usługi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w chmurze. 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usuwanie aktywnej zawartości plików PDF oraz Microsoft Office bez konieczności blokowania transferu całych plików.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wykorzystania silnika sztucznej inteligencji AI wytrenowanego przez laboratoria producenta.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Ochrona przed atakami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Ochrona IPS powinna opierać się co najmniej na analizie sygnaturowej oraz na analizie anomalii w protokołach sieciowych.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powinien chronić przed atakami na aplikacje pracujące na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niestandardowych portach.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systemu musi mieć możliwość definiowania własnych wyjątków oraz własnych sygnatur.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zapewniać wykrywanie anomalii protokołów i ruchu sieciowego, realizując tym samym podstawową ochronę przed atakami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DDoS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Mechanizmy ochrony dla aplikacji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Web’owych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Injecton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Trojany,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Exploity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Roboty) oraz możliwość kontrolowania długości nagłówka, ilości parametrów URL,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Cookies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botnet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Kontrola aplikacji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Funkcja kontroli aplikacji powinna umożliwiać kontrolę ruchu na podstawie głębokiej analizy pakietów, nie bazując jedynie na wartościach portów TCP/UDP.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Aplikacje chmurowe (co najmniej: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Facebook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Google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Docs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Dropbox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powinny być kontrolowane pod względem wykonywanych czynności, np.: pobieranie, wysyłanie plików. 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Baza powinna zawierać kategorie aplikacji szczególnie istotne z punktu widzenia bezpieczeństwa: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P2P.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systemu musi mieć możliwość definiowania wyjątków oraz własnych sygnatur.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Kontrola WWW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Moduł kontroli WWW musi korzystać z bazy adresów URL  pogrupowanych w kategorie tematyczne. 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 ramach filtra www powinny być dostępne kategorie istotne z punktu widzenia bezpieczeństwa, jak: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malware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(lub inne będące źródłem złośliwego oprogramowania),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phishing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spam,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Dynamic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DNS,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 WWW musi dostarczać kategorii stron zabronionych prawem: Hazard.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musi mieć możliwość nadpisywania kategorii oraz tworzenia wyjątków – białe/czarne listy dla adresów URL.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Funkcja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SafeSearch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– przeciwdziałająca pojawieniu się niechcianych treści w wynikach wyszukiwarek takich jak: Google, oraz Yahoo.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musi mieć możliwość definiowania komunikatów zwracanych użytkownikowi dla różnych akcji podejmowanych przez moduł filtrowania.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ramach systemu musi istnieć możliwość określenia, dla których kategorii URL lub wskazanych URL - system nie będzie dokonywał inspekcji szyfrowanej komunikacji.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Uwierzytelnianie użytkowników w ramach sesji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Firewall musi umożliwiać weryfikację tożsamości użytkowników za pomocą:</w:t>
            </w:r>
          </w:p>
          <w:p w:rsidR="009A26B9" w:rsidRPr="00853DE7" w:rsidRDefault="009A26B9" w:rsidP="00DB4461">
            <w:pPr>
              <w:numPr>
                <w:ilvl w:val="0"/>
                <w:numId w:val="14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Haseł statycznych i definicji użytkowników przechowywanych w lokalnej bazie systemu.</w:t>
            </w:r>
          </w:p>
          <w:p w:rsidR="009A26B9" w:rsidRPr="00853DE7" w:rsidRDefault="009A26B9" w:rsidP="00DB4461">
            <w:pPr>
              <w:numPr>
                <w:ilvl w:val="0"/>
                <w:numId w:val="15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Haseł statycznych i definicji użytkowników przechowywanych w bazach zgodnych z LDAP.</w:t>
            </w:r>
          </w:p>
          <w:p w:rsidR="009A26B9" w:rsidRPr="00853DE7" w:rsidRDefault="009A26B9" w:rsidP="00DB4461">
            <w:pPr>
              <w:numPr>
                <w:ilvl w:val="0"/>
                <w:numId w:val="1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Haseł dynamicznych (RADIUS, RSA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SecurID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w oparciu o zewnętrzne bazy danych. 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Musi istnieć możliwość zastosowania w tym procesie uwierzytelniania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dwu-składnikowego.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Rozwiązanie powinno umożliwiać budowę architektury uwierzytelniania typu Single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Sign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On przy integracji ze środowiskiem Active Directory oraz zastosowanie innych mechanizmów: RADIUS lub API.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Uwierzytelnianie w oparciu o protokół SAML w politykach bezpieczeństwa systemu dotyczących ruchu HTTP.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Zarządzanie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Elementy systemu bezpieczeństwa muszą mieć możliwość zarządzania lokalnego z wykorzystaniem protokołów: HTTPS oraz SSH, jak i powinny mieć możliwość współpracy z dedykowanymi platformami  centralnego zarządzania i monitorowania.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Komunikacja systemów zabezpieczeń z platformami  centralnego zarządzania musi być realizowana z wykorzystaniem szyfrowanych protokołów.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Powinna istnieć możliwość włączenia mechanizmów uwierzytelniania dwu-składnikowego dla dostępu administracyjnego.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współpracować z rozwiązaniami monitorowania poprzez protokoły SNMP w wersjach 2c, 3 oraz umożliwiać przekazywanie statystyk ruchu za pomocą protokołów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netflow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sflow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mieć możliwość zarządzania przez systemy firm trzecich poprzez API, do którego producent udostępnia dokumentację.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Element systemu pełniący funkcję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Firewal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musi posiadać wbudowane narzędzia diagnostyczne, przynajmniej: ping,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traceroute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podglądu pakietów, monitorowanie procesowania sesji oraz stanu sesji firewall.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Element systemu realizujący funkcję firewall musi umożliwiać wykonanie szeregu zmian przez administratora w CLI lub GUI, które nie zostaną zaimplementowane zanim nie zostaną zatwierdzone.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Logowanie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      </w:r>
          </w:p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Logowanie musi obejmować zdarzenia dotyczące wszystkich modułów sieciowych i bezpieczeństwa oferowanego systemu.</w:t>
            </w:r>
          </w:p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istnieć możliwość logowania do serwera SYSLOG.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Pozostałe wymagania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okresie obowiązywania gwarancji wszystkie funkcje bezpieczeństwa realizowane przez urządzenie muszą być dostępne bezpłatnie dla Zamawiającego, bez konieczności zakupu dodatkowych usług czy licencji subskrypcyjnych co najmniej w zakresie: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kontroli aplikacji,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systemu zapobiegania włamaniom (IPS),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ochrony antywirusowej (z uwzględnieniem sygnatur dla urządzeń mobilnych – co najmniej dla systemu Android),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analizy zagrożeń w środowisku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ochrony antyspamowej,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treści WWW,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reputacyjnych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adresów IP i domen,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DNS na poziomie żądania nazwy domenowej,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ochrony przed połączeniami z infrastrukturą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botnetów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treści wideo oraz kontrolę dostępu do multimediów,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inspekcji zaszyfrowanego ruchu HTTPS z automatycznymi aktualizacjami polityk.</w:t>
            </w:r>
          </w:p>
        </w:tc>
      </w:tr>
      <w:tr w:rsidR="009A26B9" w:rsidRPr="00853DE7" w:rsidTr="00DB4461">
        <w:trPr>
          <w:trHeight w:val="1399"/>
        </w:trPr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Gwarancja producenta na okres co najmniej 24 miesiące.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okresie gwarancji usługi serwisu muszą obejmować całodobowe przyjmowanie zgłoszeń (24x7) oraz realizację wymiany sprzętu poprzez dostarczenie części zamiennych do miejsca instalacji urządzenia najpóźniej do końca następnego dnia roboczego.</w:t>
            </w:r>
          </w:p>
        </w:tc>
      </w:tr>
    </w:tbl>
    <w:p w:rsidR="009A26B9" w:rsidRDefault="009A26B9" w:rsidP="009A26B9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9A26B9" w:rsidRPr="00853DE7" w:rsidRDefault="009A26B9" w:rsidP="009A26B9">
      <w:pPr>
        <w:pStyle w:val="numeracja2"/>
      </w:pPr>
      <w:r w:rsidRPr="00853DE7">
        <w:t xml:space="preserve">Zakup serwera NAS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Budowa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Obudowa przystosowana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19” zajmująca maksymalnie 2U, wraz z szynami montażowymi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Redundantne wentylatory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Wielordzeniowy procesor 64-bitowy, uzyskujący wynik co najmniej 4000 punktów w teście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PassMark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- CPU Mark według wyników dostępnych na stronie http://www.cpubenchmark.net 30 dni przed terminem składania ofert lub później.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Pamięć RAM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Zainstalowane co najmniej 4 GB pamięci RAM. Możliwość rozbudowy do 64 GB pamięci RAM lub więcej.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Obsługa dysków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Ilość kieszeni dysków: co najmniej 8.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Obsługiwane typy dysków: Obsługa dysków hot-plug: 3,5” SATA, 2,5” SATA SSD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Możliwość instalacji co najmniej 2 dysków M.2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PCIe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generacji co najmniej 3.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Zamontowane dyski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Zamontowane: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C10950">
              <w:rPr>
                <w:rFonts w:ascii="Verdana" w:hAnsi="Verdana"/>
                <w:sz w:val="20"/>
                <w:szCs w:val="20"/>
              </w:rPr>
              <w:t>8 dysków HDD 3,5” SATA III o pojemności co najmniej 12 TB każdy i deklarowanym średnim czasem bezawaryjnej pracy co najmniej 2 mln godzin.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Oferowane dyski muszą znajdować się na liście kompatybilności producenta urządzenia dyskowego NAS.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RAID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Obsługa RAID co najmniej: JBOD, Single, RAID 0, 1, 5, 6, 10, 50, 60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Obsługiwane systemy plików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EXT3, EXT4, NTFS, FAT32, HFS+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Obsługiwane protokoły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SSH, Telnet, HTTP(S), FTP, CIFS/SMB, AFP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i usługi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iSCSI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Service,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LDAP, DDNS,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serwerplików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FTP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Co najmniej 2 porty 2,5GbE Base-T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Co najmniej 4 porty USB 3.x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reduntantne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zasilacze, każdy o mocy maksymalnej nie przekraczającej 250W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Zgodność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VMWare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, Microsoft Hyper-V, Windows Server 2022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2025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Gwarancja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Gwarancja producenta co najmniej 36 miesięcy. </w:t>
            </w:r>
          </w:p>
        </w:tc>
      </w:tr>
    </w:tbl>
    <w:p w:rsidR="009A26B9" w:rsidRDefault="009A26B9" w:rsidP="009A26B9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9A26B9" w:rsidRPr="00853DE7" w:rsidRDefault="009A26B9" w:rsidP="009A26B9">
      <w:pPr>
        <w:pStyle w:val="numeracja2"/>
      </w:pPr>
      <w:r w:rsidRPr="00853DE7">
        <w:t>Zakup serwera do archiwizacji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Obudowa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 wysokości maksymalnie 1U z możliwością instalacji do 8 dysków 2.5" Hot-Plug, z kompletem szyn umożliwiających montaż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wysuwanie serwera do celów serwisowych.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Płyta główna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Umożliwiająca zainstalowanie dwóch procesorów.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Chipset dedykowany przez producenta procesora do pracy w serwerach dwuprocesorowych.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obsługi do 1TB pamięci RAM lub więcej.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Zainstalowane dwa procesory co najmniej ośmiordzeniowe klasy x86 dedykowane do pracy z oferowanym serwerem, umożliwiające osiągnięcie przez serwer wyniku co najmniej 165 punktów w teście SPECrate2017_int_base według wyników publikowanych na stronie </w:t>
            </w:r>
            <w:hyperlink r:id="rId12" w:history="1">
              <w:r w:rsidRPr="00024866">
                <w:rPr>
                  <w:rStyle w:val="Hipercze"/>
                  <w:rFonts w:ascii="Verdana" w:eastAsiaTheme="majorEastAsia" w:hAnsi="Verdana"/>
                  <w:color w:val="auto"/>
                  <w:sz w:val="20"/>
                  <w:szCs w:val="20"/>
                </w:rPr>
                <w:t>www.spec.org</w:t>
              </w:r>
            </w:hyperlink>
            <w:r w:rsidRPr="00024866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Pamięć RAM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Zainstalowane co najmniej 128 GB DDR5 RDIMM co najmniej 5600MT/s.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Grafika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Zintegrowana karta graficzna umożliwiająca wyświetlenie rozdzielczości co najmniej 1920 x 1200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Sieć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najmniej: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BaseT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 xml:space="preserve"> oraz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4 interfejsy sieciowe 10/25Gb Ethernet w standardzie SFP28.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Dyski twarde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Możliwość instalacji dysków SATA, SAS, SSD.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Zainstalowane 3 dyski Hot-Plug SSD o pojemności co najmniej 960 GB każdy oraz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Zainstalowane 4 dyski Hot-Plug z interfejsem SAS o prędkości obrotowej co najmniej 10 tys.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obr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>./min. pojemności co najmniej 2,4 TB każdy.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Kontroler dyskowy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Sprzętowy kontroler dyskowy z nieulotną pamięcią cache co najmniej 8GB, możliwe konfiguracje poziomów RAID: 0, 1, 5, 6, 10, 50, 60.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 3 zewnętrzne porty USB, w tym co najmniej 1 port USB 3.x.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 2 porty VGA, w tym co najmniej 1 port na panelu przednim.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Możliwość rozbudowy o port RS232.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Redundantne zasilacze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hotplug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 xml:space="preserve"> o mocy nie </w:t>
            </w:r>
            <w:r w:rsidRPr="003D0C3C">
              <w:rPr>
                <w:rFonts w:ascii="Verdana" w:hAnsi="Verdana"/>
                <w:sz w:val="20"/>
                <w:szCs w:val="20"/>
              </w:rPr>
              <w:t>większej niż 1100W każdy.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Dedykowany moduł zdalnego zarządzania, diagnostyki i monitorowania pracy serwera, niezależny od systemu operacyjnego, posiadający dedykowany port 1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GbE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Bezpieczeństwo, diagnostyka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Blokada na ramce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panela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zamykana na klucz służąca do ochrony nieautoryzowanego dostępu do dysków twardych. 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Moduł TPM 2.0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Panel LCD umieszczony na froncie obudowy, pozwalający jednoznacznie stwierdzić, czy system działa poprawnie i pokazujący podstawowe stany działania serwera w tym adres IP karty zarządzającej.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Obudowa wyposażona w kartę umożliwiającą dostęp bezpośredni poprzez urządzenia mobilne - serwer musi posiadać możliwość konfiguracji oraz monitoringu najważniejszych komponentów serwera przy użyciu dedykowanej aplikacji mobilnej działającej co najmniej na urządzeniach Android i Apple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przy użyciu Bluetooth LE lub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WiFi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Zainstalowany na serwerze system operacyjny, kompatybilny z oferowanym serwerem, spełniający nw. wymagania minimalne: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wykorzystania 320 logicznych procesorów oraz co najmniej 4 TB pamięci RAM w środowisku fizycznym.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wykorzystywania 64 procesorów wirtualnych oraz 1TB pamięci RAM i dysku o pojemności do 64TB przez każdy wirtualny serwerowy system operacyjny.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przez sieć Ethernet, bez konieczności stosowania dodatkowych mechanizmów współdzielenia pamięci.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pamięci RAM bez przerywania pracy.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procesorów bez przerywania pracy.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Automatyczna weryfikacja cyfrowych sygnatur sterowników w celu sprawdzenia, czy sterownik przeszedł testy jakości przeprowadzone przez producenta systemu operacyjnego.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Hyper-Threading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wsparcie instalacji i pracy na wolumenach, które: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pozwalają na zmianę rozmiaru w czasie pracy systemu,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tworzenie w czasie pracy systemu migawek, dających użytkownikom końcowym (lokalnym i sieciowym) prosty wgląd w poprzednie wersje plików i folderów,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kompresję "w locie" dla wybranych plików i/lub folderów,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zdefiniowanie list kontroli dostępu (ACL).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Wbudowany mechanizm klasyfikowania i indeksowania plików (dokumentów) w oparciu o ich zawartość.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uruchamianie aplikacji internetowych wykorzystujących technologię ASP.NET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dystrybucji ruchu sieciowego HTTP pomiędzy kilka serwerów.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Wbudowana zapora internetowa (firewall) z obsługą definiowanych reguł dla ochrony połączeń internetowych i intranetowych.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Graficzny interfejs użytkownika, umożliwiający obsługę przy pomocy klawiatury i myszy.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Zlokalizowane w języku polskim, co najmniej następujące elementy: menu, przeglądarka internetowa, pomoc, komunikaty systemowe,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Mechanizmy logowania w oparciu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ologin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hasło.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Plug&amp;Play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zdalnej konfiguracji, administrowania oraz aktualizowania systemu.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Dostępność bezpłatnych narzędzi producenta systemu umożliwiających badanie i wdrażanie zdefiniowanego zestawu polityk bezpieczeństwa.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Pochodzący od producenta systemu serwis zarządzania polityką dostępu do informacji w dokumentach (Digital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Rights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Management).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środowisk Java i .NET Framework 4.x – możliwość uruchomienia aplikacji działających we wskazanych środowiskach.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Podstawowe usługi sieciowe: DHCP oraz DNS wspierający DNSSEC,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Podłączenie do domeny w trybie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offline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– bez dostępnego połączenia sieciowego z domeną,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Ustanawianie praw dostępu do zasobów domeny na bazie sposobu logowania użytkownika – na przykład typu certyfikatu użytego do logowania,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Odzyskiwanie przypadkowo skasowanych obiektów usługi katalogowej z mechanizmu kosza.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Bezpieczny mechanizm dołączania do domeny uprawnionych użytkowników prywatnych urządzeń mobilnych opartych o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Windows 10 i wyższych.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Zdalna dystrybucja oprogramowania na stacje robocze.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Praca zdalna na serwerze z wykorzystaniem terminala (cienkiego klienta) lub odpowiednio skonfigurowanej stacji roboczej.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Centrum Certyfikatów (CA), obsługa klucza publicznego i prywatnego) umożliwiające: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dystrybucję certyfikatów poprzez http,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konsolidację CA dla wielu lasów domeny,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automatyczne rejestrowania certyfikatów pomiędzy różnymi lasami domen,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automatyczne występowanie i używanie (wystawianie) certyfikatów PKI X.509.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Szyfrowanie plików i folderów.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Szyfrowanie połączeń sieciowych pomiędzy serwerami oraz serwerami i stacjami roboczymi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Możliwość tworzenia systemów wysokiej dostępności (klastry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fail-over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oraz rozłożenia obciążenia serwerów.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Serwis udostępniania stron WWW.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protokołu IP w wersji 6 (IPv6),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algorytmów Suite B (RFC 4869),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usługi VPN pozwalające na zestawienie nielimitowanej liczby równoczesnych połączeń i niewymagające instalacji dodatkowego oprogramowania na komputerach z systemem Windows,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Wbudowane mechanizmy wirtualizacji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pozwalające na uruchamianie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 jednoczesnym zachowaniem pozostałej funkcjonalności. Mechanizmy wirtualizacji mają zapewnić wsparcie dla: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Dynamicznego podłączania zasobów dyskowych typu hot-plug do maszyn wirtualnych,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Obsługi ramek typu jumbo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frames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dla maszyn wirtualnych.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Obsługi 4-KB sektorów dysków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Nielimitowanej liczby jednocześnie przenoszonych maszyn wirtualnych pomiędzy węzłami klastra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Możliwości wirtualizacji sieci z zastosowaniem przełącznika, którego funkcjonalność może być rozszerzana jednocześnie poprzez oprogramowanie kilku innych dostawców poprzez otwarty interfejs API.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trunkmode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dostępu do zasobu dyskowego poprzez wiele ścieżek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Multipath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instalacji poprawek poprzez wgranie ich do obrazu instalacyjnego.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Mechanizmy zdalnej administracji oraz mechanizmy (również działające zdalnie) administracji przez skrypty.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zarządzania przez wbudowane mechanizmy zgodne ze standardami WBEM oraz WS-Management organizacji DMTF.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Zorganizowany system szkoleń i dostępne materiały edukacyjne w języku polskim.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Zaoferowana wraz z serwerem licencja na system operacyjny: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zostać tak dobrana, aby była zgodna z zasadami licencjonowania producenta i pozwalała na legalne używanie na oferowanym serwerze,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musi obejmować najnowszą wersję systemu dostępną na dzień składania oferty oraz uprawniać do instalacji wersji poprzedniej (tzw. </w:t>
            </w:r>
            <w:proofErr w:type="spellStart"/>
            <w:r w:rsidRPr="00853DE7">
              <w:rPr>
                <w:rFonts w:ascii="Verdana" w:hAnsi="Verdana"/>
                <w:i/>
                <w:iCs/>
                <w:sz w:val="20"/>
                <w:szCs w:val="20"/>
              </w:rPr>
              <w:t>downgrade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),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uprawniać do zainstalowania serwerowego systemu operacyjnego w środowisku fizycznym oraz umożliwiać zainstalowanie instancji wirtualnych tego serwerowego systemu operacyjnego w liczbie umożliwiającej Wykonawcy zainstalowanie wszystkich elementów oprogramowania, które muszą zostać zainstalowane na serwerze w związku z realizacją zamówienia,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obejmować licencje dostępowe dla 40 użytkowników, jeśli takie licencje są wymagane przez producenta do dostępu do oprogramowania serwerowego.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Wymagane dostarczenie nośników instalacyjnych umożliwiających instalację zarówno najnowszej, jak i poprzedniej wersji systemu.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Do oferty należy załączyć potwierdzenie kompatybilności serwera z oferowanym systemem operacyjnym (wydruk ze strony producenta systemu operacyjnego, dopuszcza się wydruk w języku angielskim).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Wymagania środowiskowe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Oferowany serwer musi być zgodny z dyrektywą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Unii Europejskiej o eliminacji substancji niebezpiecznych. Do oferty należy załączyć deklarację zgodności z dyrektywą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Warunki gwarancyjne, wsparcie techniczne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pięcioletnia gwarancja producenta, obejmująca wszystkie komponenty serwera wchodzące w skład oferowanej konfiguracji. 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Usługi serwisu gwarancyjnego muszą być realizowane w miejscu instalacji urządzenia. Czas reakcji serwisu - do końca następnego dnia roboczego.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przypadku awarii dysków twardych dysk pozostaje u Zamawiającego.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zgłaszania awarii 24 godziny na dobę, 7 dni w tygodniu w języku polskim poprzez ogólnopolską linię telefoniczną producenta lub dedykowany polskojęzyczny portal techniczny producenta.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gwarancji. Usługa realizowana przez polskojęzyczny portal producenta.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1F149C" w:rsidRDefault="009A26B9" w:rsidP="009A26B9">
      <w:pPr>
        <w:pStyle w:val="numeracja2"/>
      </w:pPr>
      <w:r w:rsidRPr="001F149C">
        <w:t>Zakup oprogramowania do backupu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F149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F149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1F149C">
              <w:rPr>
                <w:rFonts w:ascii="Verdana" w:hAnsi="Verdana"/>
                <w:bCs/>
                <w:sz w:val="20"/>
                <w:szCs w:val="20"/>
              </w:rPr>
              <w:t>Licencja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Wymagane dostarczenie licencji </w:t>
            </w:r>
            <w:r w:rsidRPr="00024866">
              <w:rPr>
                <w:rFonts w:ascii="Verdana" w:hAnsi="Verdana"/>
                <w:sz w:val="20"/>
                <w:szCs w:val="20"/>
              </w:rPr>
              <w:t>wieczystej umożliwiającej ochronę 10 serwerów wirtualnych, uprawniającej do korzystania ze wsparcia producenta przez co najmniej do 30.06</w:t>
            </w:r>
            <w:r w:rsidRPr="001F149C">
              <w:rPr>
                <w:rFonts w:ascii="Verdana" w:hAnsi="Verdana"/>
                <w:sz w:val="20"/>
                <w:szCs w:val="20"/>
              </w:rPr>
              <w:t>.2026 r.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Wymagania ogólne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współpracować z infrastrukturą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VMwareoraz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Microsoft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-V. Wszystkie niżej wskazane funkcjonalności muszą być dostępne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chyba że wyszczególniono inaczej.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zapewniać tworzenie kopii zapasowych z sieciowych urządzeń plikowych NAS opartych o SMB, CIFS i/lub NFS oraz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bezpośrednio z serwerów plikowych opartych o Windows i Linux.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szczegółowe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być niezależne sprzętowo i umożliwiać wykorzystanie dowolnej platformy serwerowej i dyskowej.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deduplikowanych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bloków.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reverse-inremental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mechanizmy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kompresji w celu zmniejszenia wielkości archiwów. Włączenie tych mechanizmów nie może skutkować utratą jakichkolwiek funkcjonalności wymienionych w tej specyfikacji.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nie może przechowywać danych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muszą być przechowywane w plikach backupu.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zapewniać warstwę abstrakcji nad poszczególnymi urządzeniami pamięci masowej, pozwalając utworzyć jedną wirtualną pulę pamięci na kopie zapasowe. Wymagane jest wsparcie dla nieograniczonej liczby pamięci masowych to takiej puli.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Proces migracji danych powinien być zautomatyzowany. Jedynie unikalne bloki mogą być przesyłane w celu oszczędności pasma oraz przestrzeni na przechowywane dane. Funkcjonalność ta nie może mieć wpływu na możliwości odtwarzania danych.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nie może instalować żadnych stałych agentów wymagających wdrożenia czy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upgradowania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wewnątrz maszyny wirtualnej dla jakichkolwiek funkcjonalności backupu lub odtwarzania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uruchamiania dowolnych skryptów przed i po zadaniu backupowym lub przed i po wykonaniu zadania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oferować portal samoobsługowy, umożliwiający odtwarzanie użytkownikom wirtualnych maszyn, obiektów (w tym odtwarzanie point-in-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zapewniać możliwość delegacji uprawnień do odtwarzania na portalu.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integracji z innymi systemami poprzez wbudowane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RESTful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API.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reinstalacji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mieć wbudowane mechanizmy szyfrowania zarówno plików z backupami jak i transmisji sieciowej. Włączenie szyfrowania nie może skutkować utratą jakiejkolwiek funkcjonalności wymienionej w tej specyfikacji.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posiadać mechanizmy chroniące przed utratą hasła szyfrowania.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backup maszyn wirtualnych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używających współdzielonych dysków VHDX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 (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shared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VHDX).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posiadać architekturę klient/serwer z możliwością instalacji wielu instancji konsoli administracyjnych.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RPO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wykorzystywać mechanizmy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Change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Block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Tracking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Mechanizmy muszą być certyfikowane przez dostawcę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wirtualizacyjnej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wykorzystywać mechanizmy śledzenia zmienionych plików przy zabezpieczaniu udziałów plikowych.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oferować możliwość sterowania obciążeniem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storage'u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produkcyjnego tak aby nie przekraczane były skonfigurowane przez administratora backupu poziomy latencji. Funkcjonalność ta musi być dostępna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zapewniać tworzenie kopii zapasowych z bezpośrednim wykorzystaniem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macierzowych. Musi też zapewniać odtwarzanie maszyn wirtualnych z takich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posiadać wsparcie 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VMwarevSAN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potwierdzone odpowiednią certyfikacją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kopiowanie backupów.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BlockClone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API w przypadku użycia Windows Server z systemem pliku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ReFS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jako repozytorium backupu. Podobna funkcjonalność musi być zapewniona dla repozytoriów opartych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linuxowy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system plików XFS.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mieć możliwość kopiowania backupów oraz replikacji wirtualnych maszyn z wykorzystaniem wbudowanej akceleracji WAN.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replikacji asynchronicznej włączonych wirtualnych maszyn bezpośrednio z infrastruktury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pomiędzy hostami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ESXi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oraz pomiędzy hostami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 Dodatkowo oprogramowanie musi mieć możliwość użycia plików kopii zapasowych jako źródła replikacji.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replikacji ciągłej, opartej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VAIO, włączonych wirtualnych maszyn bezpośrednio z infrastruktury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 Dla replikacji ciągłej musi być możliwość zdefiniowania dziennika pozwalającego na odzyskanie danych z dowolnego punku w ramach ustalonego parametru RPO.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przechowywanie punktów przywracania dla replik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wykorzystanie istniejących w infrastrukturze wirtualnych maszyn jako źródła do dalszej replikacji (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replicaseeding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wykorzystywać wszystkie oferowane przez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tryby transportu (sieć, hot-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add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, LAN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Free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-SAN)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Wymagania RTO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jednoczesne uruchomienie wielu maszyn wirtualnych bezpośrednio ze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zdeduplikowanego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skompresowanego pliku backupu, z dowolnego punktu przywracania, bez potrzeby kopiowania jej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produkcyjny. Funkcjonalność musi być oferowana dla środowisk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 niezależnie od rodzaju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storage’u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użytego do przechowywania kopii zapasowych.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Dodatkowo dla środowiska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 powyższa funkcjonalność powinna umożliwiać uruchomianie backupu z innych platform (inne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wirtualizatory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maszyny fizyczne oraz chmura publiczna).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pozwalać na migrację on-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line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tak uruchomionych maszyn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produkcyjny. Migracja powinna odbywać się mechanizmami wbudowanymi w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Jeżeli licencja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nie posiada takich funkcjonalności - oprogramowanie musi realizować taką migrację swoimi mechanizmami.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vSpehre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pełne odtworzenie wirtualnej maszyny, plików konfiguracji i dysków.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umożliwić odtworzenie plików na maszynę operatora, lub na serwer produkcyjny bez potrzeby użycia agenta instalowanego wewnątrz wirtualnej maszyny. Funkcjonalność ta nie powinna być ograniczona wielkością i liczbą przywracanych plików.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odtworzenia plików bezpośrednio do maszyny wirtualnej poprzez sieć, przy pomocy API dla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PowerShell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Direct dla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 i Linux.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przywracanie plików z partycji Linux LVM oraz Windows Storage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Spaces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szybkie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odtwarzanie obiektów aplikacji bez użycia jakiegokolwiek agenta zainstalowanego wewnątrz maszyny wirtualnej.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odtwarzanie obiektów Active Directory takich jak konta komputerów, konta użytkowników, dowolnych atrybutów, rekordów DNS zintegrowanych z AD, Microsoft System Objects, certyfikatów CA, elementów AD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Sites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także specyficzne metody odtwarzania w tym "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reverse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CBT" oraz odtwarzanie z wykorzystaniem sieci SAN.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ograniczenia ryzyka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dawać możliwość stworzenia laboratorium (izolowane środowisko) 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 używając wirtualnych maszyn uruchamianych bezpośrednio z plików backupu.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oprogramowanie musi pozwalać na uruchomienie takiego środowiska bezpośrednio ze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macierzowych stworzonych na wspieranych urządzeniach.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przeprowadzone bez interakcji z administratorem.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dwuetapowe, automatyczne, odtwarzanie maszyn wirtualnych z możliwością wstrzyknięcia dowolnego skryptu przed odtworzeniem danych do środowiska produkcyjnego.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dla agenta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wykonywać kopię zapasową systemu Windows oraz Linux wykorzystując agenta znajdującego się wewnątrz systemu operacyjnego.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systemy operacyjne Windows w wersjach klienckich oraz serwerowych.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mieć możliwość instalacji oraz zarządzania wykorzystując tryb niezależny (per agent) jak również zcentralizowany (poprzez centralną konsolę zarządzającą)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systemy oparte o Microsoft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Cluster.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zabezpieczanie do oraz odzyskiwanie z urządzeń blokowych pozwalając na odzysk całej maszyny (tzw.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metal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recovery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 wybranych wolumenów, oraz wybranych plików i folderów.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backup podłączonych dysków USB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Kopia zapasowa całej maszyny oraz pojedynczych wolumenów musi być wykonywana na poziomie blokowym.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pozwalać na przechowywanie kopii zapasowych na zasobach lokalnych (wewnętrznych) dyskach zabezpieczanej maszyny, Direct Attached Storage (DAS), takich jak zewnętrzne dyski USB,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eSATA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Firewire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Network Attached Storage (NAS) pozwalającym na wystawienie swoich zasobów poprzez SMB (CIFS) lub NFS, bezpośrednio na zasobach obiektowych (w tym chmury).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oraz kompresję na źródle. Dane wysyłane na repozytorium muszą być już odpowiednio przetworzone.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kontrolę pasma sieciowego.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ograniczenie wykonywania backupów dla konkretnych sieci bezprzewodowych.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ograniczenia wykonywania backupów dla połączeń VPN.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śledzenie zmienionych bloków podczas wykonywania kopii zapasowych. Dla systemów Windows technologia śledzenia bloków dla systemów serwerowych musi być certyfikowana przez Microsoft.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technologię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BitLocker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uruchamianie z nośnika odtwarzania.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odzysk pojedynczych elementów aplikacji z jednoprzebiegowej kopii zapasowej dla Microsoft Active Directory, Microsoft SQL,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odzysk do konkretnego punktu w czasie (point-in-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 dla wspieranych systemów bazodanowych.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umożliwiać natychmiastowe publikowanie baz MS SQL poprzez bezpośrednie uruchomienie ich z pliku backupu.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Rozwiązanie musi wspierać odzysk obrazów kopii zapasowych bezpośrednio do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szyfrowanie.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możliwość wykonywania kopii zapasowych stacji klienckich, lokalnie do repozytorium tymczasowego (cache), gdy połączenie sieciowe do głównego repozytorium kopii zapasowych jest niedostępne.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posiadać funkcjonalność automatycznego zmniejszenia szybkości przetwarzania danych, aby nie dopuścić do obniżenia wydajności systemu zabezpieczanego.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posiadać ochronę przed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ransomware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poprzez automatyczne odmontowanie nośnika po wykonanym backupie stacji klienckiej.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tworzenie wielu zadań backupowych.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umeracja2"/>
      </w:pPr>
      <w:r w:rsidRPr="00853DE7">
        <w:t>Zakup UPS serwerowego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Typ urządzenia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Zasilacz awaryjny UPS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Obudowa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zajmująca nie więcej niż 2U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Topologia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Line-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interactive</w:t>
            </w:r>
            <w:proofErr w:type="spellEnd"/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Moc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Moc pozorna co najmniej 1500 VA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Moc czynna co najmniej 900 W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Parametry elektryczne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Zasilanie jednofazowe 230 V AC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Napięcie wyjściowe 230 V AC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Napięcie wyjściowe o przebiegu sinusoidalnym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Wbudowana automatyczna regulacja napięcia (AVR)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Czas przełączania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Czas przełączania na pracę bateryjną nie więcej niż 10 ms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Gniazda i przyłącza zasilania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Złącze wejściowe IEC 320 C14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Co najmniej 4 gniazda wyjściowe IEC 320 C13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Akumulator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Czas ładowania akumulatora do pełna nie więcej niż 3 godziny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Komunikacja i zarządzanie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Panel sterowania: wielofunkcyjny wyświetlacz LCD do prezentacji stanu i parametrów pracy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komunikacyjny USB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komunikacyjny szeregowy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Ethernet RJ-45 do zdalnego monitorowania UPS 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Funkcjonalność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UPS musi zapewniać możliwość inicjowania i realizacji kontrolowanego, automatycznego zamykania systemu operacyjnego chronionego urządzenia w przypadku zaniku zasilania sieciowego. Zamknięcie systemu operacyjnego musi być realizowane w sposób automatyczny i kontrolowany, bez konieczności ręcznej interwencji użytkownika.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Zamknięcie systemu operacyjnego musi być realizowane z wykorzystaniem oprogramowania producenta UPS lub oprogramowania z nim równoważnego, komunikującego się bezpośrednio z UPS. W przypadku zaoferowania oprogramowania równoważnego do oprogramowania producenta UPS, Wykonawca dostarczy licencję umożliwiającą realizację funkcji automatycznego, kontrolowanego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zamykania systemów operacyjnych na co najmniej 4 chronionych urządzeniach..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Oprogramowanie musi obsługiwać co najmniej systemy operacyjne Microsoft Windows w wersjach wspieranych przez producenta systemu.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Gwarancja producenta co najmniej 24 miesiące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umeracja2"/>
      </w:pPr>
      <w:r w:rsidRPr="001F149C">
        <w:t>Zakup</w:t>
      </w:r>
      <w:r w:rsidRPr="00853DE7">
        <w:t xml:space="preserve"> usług wdrożenia zakupionych rozwiązań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Wymagania ogólne dotyczące wdrożenia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zobowiązany jest do realizacji usług wdrożeniowych dla wszystkich urządzeń i oprogramowania opisanych w rozdziałach 1–5, w sposób zapewniający ich pełną funkcjonalność, bezpieczeństwo oraz zgodność z wymaganiami Zamawiającego.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Wdrożenie musi zostać przeprowadzone w siedzibie Zamawiającego, w uzgodnionych terminach, w sposób minimalizujący wpływ na bieżącą pracę urzędu.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Wszystkie urządzenia przeznaczone do montażu w szafach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muszą zostać zainstalowane w szafach wskazanych przez Zamawiającego, wraz z dostarczeniem kompletu niezbędnych akcesoriów montażowych, kabli zasilających i sygnałowych.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ponosi odpowiedzialność za poprawne uruchomienie, konfigurację oraz integrację dostarczonych rozwiązań z istniejącą infrastrukturą IT Zamawiającego.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W ramach wdrożenia Wykonawca zobowiązany jest do wykonania aktualizacji </w:t>
      </w:r>
      <w:proofErr w:type="spellStart"/>
      <w:r w:rsidRPr="00853DE7">
        <w:rPr>
          <w:rFonts w:ascii="Verdana" w:hAnsi="Verdana"/>
          <w:sz w:val="20"/>
          <w:szCs w:val="20"/>
        </w:rPr>
        <w:t>firmware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oprogramowania do wersji aktualnych na dzień wdrożenia, o ile nie koliduje to z polityką bezpieczeństwa Zamawiającego.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UTM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fizyczna urządzenia UTM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>, podłączenie do sieci zasilającej oraz infrastruktury sieciowej Zamawiającego.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Wykonanie podstawowej konfiguracji systemu, obejmującej co najmniej: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interfejsów sieciowych i stref bezpieczeństwa,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polityk firewall zgodnie z uzgodnioną koncepcją bezpieczeństwa,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mechanizmów ochrony (IPS, antywirus, kontrola aplikacji, filtrowanie treści WWW),</w:t>
      </w:r>
    </w:p>
    <w:p w:rsidR="009A26B9" w:rsidRPr="009A26B9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konfigurację mechanizmów VPN (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>-to-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 xml:space="preserve"> i/lub </w:t>
      </w:r>
      <w:proofErr w:type="spellStart"/>
      <w:r w:rsidRPr="009A26B9">
        <w:rPr>
          <w:rFonts w:ascii="Verdana" w:hAnsi="Verdana"/>
          <w:sz w:val="20"/>
          <w:szCs w:val="20"/>
        </w:rPr>
        <w:t>client</w:t>
      </w:r>
      <w:proofErr w:type="spellEnd"/>
      <w:r w:rsidRPr="009A26B9">
        <w:rPr>
          <w:rFonts w:ascii="Verdana" w:hAnsi="Verdana"/>
          <w:sz w:val="20"/>
          <w:szCs w:val="20"/>
        </w:rPr>
        <w:t>-to-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>).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Integracja urządzenia UTM z istniejącą infrastrukturą sieciową Zamawiającego, w tym z usługami katalogowymi, jeżeli są wykorzystywane.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monitoringu, logowania oraz raportowania zdarzeń bezpieczeństwa.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poprawności działania wdrożonych funkcji bezpieczeństwa.</w:t>
      </w:r>
      <w:r>
        <w:rPr>
          <w:rFonts w:ascii="Verdana" w:hAnsi="Verdana"/>
          <w:sz w:val="20"/>
          <w:szCs w:val="20"/>
        </w:rPr>
        <w:br/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lastRenderedPageBreak/>
        <w:t>Wdrożenie serwera NAS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serwera NAS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jego fizyczne podłączenie do sieci i zasilania.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macierzy dyskowej, w tym: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inicjalizacja dysków,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poziomów RAID zgodnie z najlepszymi praktykami bezpieczeństwa danych,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wolumenów i systemów plików.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usług sieciowych serwera NAS, w szczególności: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usług udostępniania plików,</w:t>
      </w:r>
    </w:p>
    <w:p w:rsidR="009A26B9" w:rsidRPr="009A26B9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 xml:space="preserve">usług </w:t>
      </w:r>
      <w:proofErr w:type="spellStart"/>
      <w:r w:rsidRPr="009A26B9">
        <w:rPr>
          <w:rFonts w:ascii="Verdana" w:hAnsi="Verdana"/>
          <w:sz w:val="20"/>
          <w:szCs w:val="20"/>
        </w:rPr>
        <w:t>iSCSI</w:t>
      </w:r>
      <w:proofErr w:type="spellEnd"/>
      <w:r w:rsidRPr="009A26B9">
        <w:rPr>
          <w:rFonts w:ascii="Verdana" w:hAnsi="Verdana"/>
          <w:sz w:val="20"/>
          <w:szCs w:val="20"/>
        </w:rPr>
        <w:t>,</w:t>
      </w:r>
    </w:p>
    <w:p w:rsidR="009A26B9" w:rsidRPr="009A26B9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integracji z usługami katalogowymi Zamawiającego.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Wdrożenie polityk dostępu do danych oraz zabezpieczeń logicznych.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Testy poprawności działania, dostępności i wydajności systemu NAS.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serwera do archiwizacji wraz z systemem operacyjnym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serwera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>, podłączenie do sieci zasilającej i sieci teleinformatycznej.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modułu zdalnego zarządzania oraz podstawowych mechanizmów monitorowania sprzętu.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Instalacja i konfiguracja systemu operacyjnego zgodnie z wymaganiami Zamawiającego, w tym:</w:t>
      </w:r>
    </w:p>
    <w:p w:rsidR="009A26B9" w:rsidRPr="00853DE7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ról i usług systemowych,</w:t>
      </w:r>
    </w:p>
    <w:p w:rsidR="009A26B9" w:rsidRPr="00853DE7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bezpieczeństwa,</w:t>
      </w:r>
    </w:p>
    <w:p w:rsidR="009A26B9" w:rsidRPr="009A26B9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integracja z istniejącą domeną lub środowiskiem katalogowym.</w:t>
      </w:r>
    </w:p>
    <w:p w:rsidR="009A26B9" w:rsidRPr="009A26B9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Konfiguracja mechanizmów wirtualizacji oraz przygotowanie środowiska pod potrzeby archiwizacji danych.</w:t>
      </w:r>
    </w:p>
    <w:p w:rsidR="009A26B9" w:rsidRPr="009A26B9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Wykonanie testów poprawności działania serwera oraz usług systemowych.</w:t>
      </w:r>
    </w:p>
    <w:p w:rsidR="009A26B9" w:rsidRPr="009A26B9" w:rsidRDefault="009A26B9" w:rsidP="009A26B9">
      <w:pPr>
        <w:pStyle w:val="numeracja2"/>
        <w:numPr>
          <w:ilvl w:val="1"/>
          <w:numId w:val="47"/>
        </w:numPr>
      </w:pPr>
      <w:r w:rsidRPr="009A26B9">
        <w:t>Wdrożenie oprogramowania do tworzenia kopii zapasowych</w:t>
      </w:r>
    </w:p>
    <w:p w:rsidR="009A26B9" w:rsidRPr="009A26B9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Do obowiązków Wykonawcy należy:</w:t>
      </w:r>
    </w:p>
    <w:p w:rsidR="009A26B9" w:rsidRPr="009A26B9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Instalacja oprogramowania backupowego na wskazanej przez Zamawiającego maszynie wirtualnej / serwerze.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Konfiguracja repozytoriów kopii zapasowych z wykorzystaniem serwera NAS i/lub serwera archiwizacji.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Utworzenie polityk kopii zapasowych obejmujących co najmniej: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maszyny wirtualne,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serwery plików,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dane przechowywane na urządzeniach NAS.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harmonogramów wykonywania kopii zapasowych oraz mechanizmów retencji danych.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odtwarzania danych (co najmniej test odtworzenia wybranych plików lub maszyn wirtualnych).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zasilacza awaryjnego UPS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UPS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podłączenie do infrastruktury zasilającej i chronionych urządzeń.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interfejsów komunikacyjnych UPS oraz integracja z systemami operacyjnymi chronionych serwerów.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automatycznego, kontrolowanego zamykania systemów operacyjnych w przypadku zaniku zasilania.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poprawności działania UPS, w tym testu zaniku zasilania.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pracowników Zamawiającego w zakresie podstawowej obsługi i monitorowania UPS.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Dokumentacja powdrożeniowa</w:t>
      </w:r>
    </w:p>
    <w:p w:rsidR="009A26B9" w:rsidRPr="00853DE7" w:rsidRDefault="009A26B9" w:rsidP="009A26B9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zobowiązany jest do przygotowania i przekazania Zamawiającemu dokumentacji powdrożeniowej obejmującej: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opis wykonanych prac wdrożeniowych,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schemat logiczny wdrożonej infrastruktury,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opis konfiguracji kluczowych elementów systemu,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procedury podstawowej administracji i eksploatacji.</w:t>
      </w:r>
    </w:p>
    <w:p w:rsidR="009A26B9" w:rsidRPr="000369DB" w:rsidRDefault="009A26B9" w:rsidP="009A26B9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Dokumentacja musi zostać przekazana w formie elektronicznej w języku polskim.</w:t>
      </w:r>
    </w:p>
    <w:p w:rsidR="009A26B9" w:rsidRPr="00853DE7" w:rsidRDefault="009A26B9" w:rsidP="009A26B9">
      <w:pPr>
        <w:pStyle w:val="numeracja2"/>
      </w:pPr>
      <w:r w:rsidRPr="00853DE7">
        <w:t>Zakup usług szkolenia administ</w:t>
      </w:r>
      <w:bookmarkStart w:id="2" w:name="_GoBack"/>
      <w:bookmarkEnd w:id="2"/>
      <w:r w:rsidRPr="00853DE7">
        <w:t>ratora IT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Zamówienie </w:t>
      </w:r>
      <w:bookmarkStart w:id="3" w:name="_Hlk187833274"/>
      <w:r w:rsidRPr="00853DE7">
        <w:rPr>
          <w:rFonts w:ascii="Verdana" w:hAnsi="Verdana"/>
          <w:sz w:val="20"/>
          <w:szCs w:val="20"/>
        </w:rPr>
        <w:t>obejmuje przeprowadzenie szkolenia specjalistycznego dla administratora IT Zamawiającego (1 osoba) w zakresie wdrażanych funkcjonalności zabezpieczeń,</w:t>
      </w:r>
      <w:bookmarkEnd w:id="3"/>
      <w:r w:rsidRPr="00853DE7">
        <w:rPr>
          <w:rFonts w:ascii="Verdana" w:hAnsi="Verdana"/>
          <w:sz w:val="20"/>
          <w:szCs w:val="20"/>
        </w:rPr>
        <w:t xml:space="preserve"> tj.:</w:t>
      </w:r>
      <w:r>
        <w:rPr>
          <w:rFonts w:ascii="Verdana" w:hAnsi="Verdana"/>
          <w:sz w:val="20"/>
          <w:szCs w:val="20"/>
        </w:rPr>
        <w:t xml:space="preserve"> </w:t>
      </w:r>
      <w:r w:rsidRPr="00853DE7">
        <w:rPr>
          <w:rFonts w:ascii="Verdana" w:hAnsi="Verdana"/>
          <w:sz w:val="20"/>
          <w:szCs w:val="20"/>
        </w:rPr>
        <w:t>bezpieczeństwa sieci komputerowej w oparciu o urządzenia UTM.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musi dotyczyć rozwiązań oferowanych przez Wykonawcę, tj.</w:t>
      </w:r>
      <w:r>
        <w:rPr>
          <w:rFonts w:ascii="Verdana" w:hAnsi="Verdana"/>
          <w:sz w:val="20"/>
          <w:szCs w:val="20"/>
        </w:rPr>
        <w:t xml:space="preserve"> </w:t>
      </w:r>
      <w:r w:rsidRPr="00853DE7">
        <w:rPr>
          <w:rFonts w:ascii="Verdana" w:hAnsi="Verdana"/>
          <w:sz w:val="20"/>
          <w:szCs w:val="20"/>
        </w:rPr>
        <w:t xml:space="preserve">oferowanych urządzeń UTM i musi być autoryzowane przez ich producenta. 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Szkolenia muszą być prowadzone w formie wykładu z ćwiczeniami praktycznymi w środowisku testowym.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Wymagany czas szkolenia – co najmniej 21 godzin w podziale na maksymalnie 3 dni szkolenia.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musi być realizowane w trybie on-</w:t>
      </w:r>
      <w:proofErr w:type="spellStart"/>
      <w:r w:rsidRPr="00853DE7">
        <w:rPr>
          <w:rFonts w:ascii="Verdana" w:hAnsi="Verdana"/>
          <w:sz w:val="20"/>
          <w:szCs w:val="20"/>
        </w:rPr>
        <w:t>line</w:t>
      </w:r>
      <w:proofErr w:type="spellEnd"/>
      <w:r w:rsidRPr="00853DE7">
        <w:rPr>
          <w:rFonts w:ascii="Verdana" w:hAnsi="Verdana"/>
          <w:sz w:val="20"/>
          <w:szCs w:val="20"/>
        </w:rPr>
        <w:t>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 xml:space="preserve">Po zakończeniu szkoleń Wykonawca przekaże uczestnikowi certyfikat ukończenia szkolenia. Certyfikat musi zawierać co najmniej: imię i nazwisko uczestnika, informację o ilości godzin i zrealizowanym zakresie tematycznym. 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 trakcie lub po zakończeniu szkoleń Wykonawca udostępni Zamawiającemu materiały wykorzystywane przez prowadzącego w trakcie szkolenia w formie elektronicznej do pobrania.</w:t>
      </w:r>
    </w:p>
    <w:p w:rsidR="009A26B9" w:rsidRPr="000369DB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uwzględni w programie szkoleń minimalny zakres zagadnień wskazany poniżej w sekcji „Ramowy program szkoleń”.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i/>
          <w:iCs/>
          <w:sz w:val="20"/>
          <w:szCs w:val="20"/>
        </w:rPr>
      </w:pPr>
      <w:r w:rsidRPr="00853DE7">
        <w:rPr>
          <w:rFonts w:ascii="Verdana" w:hAnsi="Verdana"/>
          <w:i/>
          <w:iCs/>
          <w:sz w:val="20"/>
          <w:szCs w:val="20"/>
        </w:rPr>
        <w:t>Ramowy program szkoleń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Wprowadzenie do architektury bezpieczeństwa sieci, obejmujące omówienie podstawowych koncepcji projektowania i funkcjonowania rozwiązań zabezpieczających infrastrukturę teleinformatyczną w środowisku organizacyjnym.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Zarządzanie centralne infrastrukturą bezpieczeństwa, w tym mechanizmy centralnego nadzoru, konfiguracji, monitorowania zdarzeń oraz utrzymania spójnych polityk bezpieczeństwa dla wielu urządzeń sieciowych.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Segmentacja sieci z wykorzystaniem logicznych mechanizmów separacji ruchu, takich jak wirtualne sieci oraz wirtualne instancje urządzeń zabezpieczających, umożliwiające wydzielanie niezależnych domen bezpieczeństwa.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Wysoka dostępność systemów bezpieczeństwa, obejmująca projektowanie, konfigurację i utrzymanie rozwiązań redundancji oraz klastrów zapewniających ciągłość działania usług sieciowych.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Wykorzystanie dynamicznych protokołów routingu w infrastrukturze bezpieczeństwa, w tym zasady konfiguracji i zastosowania protokołów routingu wewnętrznego i zewnętrznego w środowiskach korporacyjnych.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Tworzenie i zarządzanie profilami bezpieczeństwa, obejmujące definiowanie polityk ochrony, mechanizmów filtrowania ruchu oraz kontroli dostępu w urządzeniach zabezpieczających.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Konfiguracja i utrzymanie bezpiecznych tuneli komunikacyjnych typu </w:t>
      </w:r>
      <w:proofErr w:type="spellStart"/>
      <w:r w:rsidRPr="00853DE7">
        <w:rPr>
          <w:rFonts w:ascii="Verdana" w:hAnsi="Verdana"/>
          <w:sz w:val="20"/>
          <w:szCs w:val="20"/>
        </w:rPr>
        <w:t>site</w:t>
      </w:r>
      <w:proofErr w:type="spellEnd"/>
      <w:r w:rsidRPr="00853DE7">
        <w:rPr>
          <w:rFonts w:ascii="Verdana" w:hAnsi="Verdana"/>
          <w:sz w:val="20"/>
          <w:szCs w:val="20"/>
        </w:rPr>
        <w:t>-to-</w:t>
      </w:r>
      <w:proofErr w:type="spellStart"/>
      <w:r w:rsidRPr="00853DE7">
        <w:rPr>
          <w:rFonts w:ascii="Verdana" w:hAnsi="Verdana"/>
          <w:sz w:val="20"/>
          <w:szCs w:val="20"/>
        </w:rPr>
        <w:t>site</w:t>
      </w:r>
      <w:proofErr w:type="spellEnd"/>
      <w:r w:rsidRPr="00853DE7">
        <w:rPr>
          <w:rFonts w:ascii="Verdana" w:hAnsi="Verdana"/>
          <w:sz w:val="20"/>
          <w:szCs w:val="20"/>
        </w:rPr>
        <w:t xml:space="preserve"> opartych o mechanizmy kryptograficzne, przeznaczonych do łączenia rozproszonych lokalizacji organizacji.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Automatyzacja zestawiania połączeń szyfrowanych pomiędzy lokalizacjami, w tym mechanizmy umożliwiające dynamiczne i automatyczne tworzenie tuneli komunikacyjnych na żądanie.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Integracja elementów infrastruktury bezpieczeństwa w ramach spójnej architektury, obejmującej centralne zarządzanie, analizę zdarzeń oraz współpracę wielu komponentów systemu zabezpieczeń.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Optymalizacja wydajności urządzeń brzegowych i systemów bezpieczeństwa poprzez wykorzystanie mechanizmów przyspieszenia sprzętowego oraz efektywne zarządzanie zasobami obliczeniowymi.</w:t>
      </w:r>
    </w:p>
    <w:p w:rsidR="00853DE7" w:rsidRPr="0050012C" w:rsidRDefault="00853DE7" w:rsidP="00853DE7">
      <w:pPr>
        <w:numPr>
          <w:ilvl w:val="1"/>
          <w:numId w:val="0"/>
        </w:numPr>
        <w:spacing w:before="0" w:after="0"/>
        <w:contextualSpacing/>
        <w:jc w:val="both"/>
        <w:rPr>
          <w:rFonts w:ascii="Verdana" w:eastAsiaTheme="majorEastAsia" w:hAnsi="Verdana" w:cstheme="majorBidi"/>
          <w:spacing w:val="15"/>
          <w:sz w:val="20"/>
          <w:szCs w:val="20"/>
        </w:rPr>
      </w:pPr>
    </w:p>
    <w:sectPr w:rsidR="00853DE7" w:rsidRPr="0050012C" w:rsidSect="00A340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9C" w:rsidRDefault="001F149C">
      <w:r>
        <w:separator/>
      </w:r>
    </w:p>
  </w:endnote>
  <w:endnote w:type="continuationSeparator" w:id="0">
    <w:p w:rsidR="001F149C" w:rsidRDefault="001F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1F149C" w:rsidRDefault="001F14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C24F21" w:rsidRDefault="001F149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 wp14:anchorId="745D1198" wp14:editId="3178DD7F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26B9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A25198" w:rsidRDefault="001F149C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04D60C8F" wp14:editId="22AC7F00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9A26B9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9C" w:rsidRDefault="001F149C">
      <w:r>
        <w:separator/>
      </w:r>
    </w:p>
  </w:footnote>
  <w:footnote w:type="continuationSeparator" w:id="0">
    <w:p w:rsidR="001F149C" w:rsidRDefault="001F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1F149C" w:rsidRDefault="001F149C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 wp14:anchorId="2FF2D6B3" wp14:editId="12236EC4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3D620E3"/>
    <w:multiLevelType w:val="hybridMultilevel"/>
    <w:tmpl w:val="BA40A20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E9456E9"/>
    <w:multiLevelType w:val="hybridMultilevel"/>
    <w:tmpl w:val="16564BC4"/>
    <w:lvl w:ilvl="0" w:tplc="2D0A5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228034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8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2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DCC7220"/>
    <w:multiLevelType w:val="multilevel"/>
    <w:tmpl w:val="128CF83E"/>
    <w:lvl w:ilvl="0">
      <w:start w:val="1"/>
      <w:numFmt w:val="decimal"/>
      <w:pStyle w:val="numeracj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6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71874"/>
    <w:multiLevelType w:val="hybridMultilevel"/>
    <w:tmpl w:val="F004623C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3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4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8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4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6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38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9"/>
  </w:num>
  <w:num w:numId="8">
    <w:abstractNumId w:val="13"/>
  </w:num>
  <w:num w:numId="9">
    <w:abstractNumId w:val="36"/>
  </w:num>
  <w:num w:numId="10">
    <w:abstractNumId w:val="10"/>
  </w:num>
  <w:num w:numId="11">
    <w:abstractNumId w:val="46"/>
  </w:num>
  <w:num w:numId="12">
    <w:abstractNumId w:val="3"/>
  </w:num>
  <w:num w:numId="13">
    <w:abstractNumId w:val="23"/>
  </w:num>
  <w:num w:numId="14">
    <w:abstractNumId w:val="29"/>
  </w:num>
  <w:num w:numId="15">
    <w:abstractNumId w:val="31"/>
  </w:num>
  <w:num w:numId="16">
    <w:abstractNumId w:val="30"/>
  </w:num>
  <w:num w:numId="17">
    <w:abstractNumId w:val="18"/>
  </w:num>
  <w:num w:numId="18">
    <w:abstractNumId w:val="15"/>
  </w:num>
  <w:num w:numId="19">
    <w:abstractNumId w:val="11"/>
  </w:num>
  <w:num w:numId="20">
    <w:abstractNumId w:val="19"/>
  </w:num>
  <w:num w:numId="21">
    <w:abstractNumId w:val="16"/>
  </w:num>
  <w:num w:numId="22">
    <w:abstractNumId w:val="26"/>
  </w:num>
  <w:num w:numId="23">
    <w:abstractNumId w:val="35"/>
  </w:num>
  <w:num w:numId="24">
    <w:abstractNumId w:val="5"/>
  </w:num>
  <w:num w:numId="25">
    <w:abstractNumId w:val="44"/>
  </w:num>
  <w:num w:numId="26">
    <w:abstractNumId w:val="0"/>
  </w:num>
  <w:num w:numId="27">
    <w:abstractNumId w:val="20"/>
  </w:num>
  <w:num w:numId="28">
    <w:abstractNumId w:val="2"/>
  </w:num>
  <w:num w:numId="29">
    <w:abstractNumId w:val="17"/>
  </w:num>
  <w:num w:numId="30">
    <w:abstractNumId w:val="42"/>
  </w:num>
  <w:num w:numId="31">
    <w:abstractNumId w:val="34"/>
  </w:num>
  <w:num w:numId="32">
    <w:abstractNumId w:val="22"/>
  </w:num>
  <w:num w:numId="33">
    <w:abstractNumId w:val="27"/>
  </w:num>
  <w:num w:numId="34">
    <w:abstractNumId w:val="41"/>
  </w:num>
  <w:num w:numId="35">
    <w:abstractNumId w:val="1"/>
  </w:num>
  <w:num w:numId="36">
    <w:abstractNumId w:val="25"/>
  </w:num>
  <w:num w:numId="37">
    <w:abstractNumId w:val="33"/>
  </w:num>
  <w:num w:numId="38">
    <w:abstractNumId w:val="21"/>
  </w:num>
  <w:num w:numId="39">
    <w:abstractNumId w:val="45"/>
  </w:num>
  <w:num w:numId="40">
    <w:abstractNumId w:val="43"/>
  </w:num>
  <w:num w:numId="41">
    <w:abstractNumId w:val="37"/>
  </w:num>
  <w:num w:numId="42">
    <w:abstractNumId w:val="32"/>
  </w:num>
  <w:num w:numId="43">
    <w:abstractNumId w:val="28"/>
  </w:num>
  <w:num w:numId="44">
    <w:abstractNumId w:val="7"/>
  </w:num>
  <w:num w:numId="45">
    <w:abstractNumId w:val="14"/>
  </w:num>
  <w:num w:numId="46">
    <w:abstractNumId w:val="12"/>
  </w:num>
  <w:num w:numId="47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369DB"/>
    <w:rsid w:val="0004603C"/>
    <w:rsid w:val="00065C40"/>
    <w:rsid w:val="00094EF6"/>
    <w:rsid w:val="000E21EF"/>
    <w:rsid w:val="0010162A"/>
    <w:rsid w:val="001561C5"/>
    <w:rsid w:val="001F149C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82EA3"/>
    <w:rsid w:val="004844AD"/>
    <w:rsid w:val="004E62F6"/>
    <w:rsid w:val="0050012C"/>
    <w:rsid w:val="005115C2"/>
    <w:rsid w:val="005A056A"/>
    <w:rsid w:val="005B7917"/>
    <w:rsid w:val="005E22E2"/>
    <w:rsid w:val="006760F1"/>
    <w:rsid w:val="006D19B4"/>
    <w:rsid w:val="006E040C"/>
    <w:rsid w:val="006E7BF6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C4DE6"/>
    <w:rsid w:val="009A26B9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03EE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customStyle="1" w:styleId="Numeracja">
    <w:name w:val="Numeracja"/>
    <w:basedOn w:val="Normalny"/>
    <w:link w:val="NumeracjaZnak"/>
    <w:qFormat/>
    <w:rsid w:val="001F149C"/>
    <w:pPr>
      <w:spacing w:before="0" w:after="0"/>
      <w:jc w:val="both"/>
    </w:pPr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character" w:customStyle="1" w:styleId="NumeracjaZnak">
    <w:name w:val="Numeracja Znak"/>
    <w:link w:val="Numeracja"/>
    <w:rsid w:val="001F149C"/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paragraph" w:customStyle="1" w:styleId="numeracja2">
    <w:name w:val="numeracja 2"/>
    <w:basedOn w:val="Numeracja"/>
    <w:link w:val="numeracja2Znak"/>
    <w:qFormat/>
    <w:rsid w:val="006E7BF6"/>
    <w:pPr>
      <w:numPr>
        <w:numId w:val="47"/>
      </w:numPr>
    </w:pPr>
  </w:style>
  <w:style w:type="character" w:customStyle="1" w:styleId="numeracja2Znak">
    <w:name w:val="numeracja 2 Znak"/>
    <w:basedOn w:val="NumeracjaZnak"/>
    <w:link w:val="numeracja2"/>
    <w:rsid w:val="006E7BF6"/>
    <w:rPr>
      <w:rFonts w:ascii="Verdana" w:eastAsia="SimSun" w:hAnsi="Verdana" w:cs="Mangal"/>
      <w:b/>
      <w:kern w:val="1"/>
      <w:sz w:val="22"/>
      <w:szCs w:val="2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spec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39EFCFC4-34DA-442C-B45D-8CE48731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24</Pages>
  <Words>6813</Words>
  <Characters>47949</Characters>
  <Application>Microsoft Office Word</Application>
  <DocSecurity>0</DocSecurity>
  <Lines>399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Rabczewski</cp:lastModifiedBy>
  <cp:revision>5</cp:revision>
  <cp:lastPrinted>2026-01-21T12:05:00Z</cp:lastPrinted>
  <dcterms:created xsi:type="dcterms:W3CDTF">2026-01-21T09:44:00Z</dcterms:created>
  <dcterms:modified xsi:type="dcterms:W3CDTF">2026-02-05T08:59:00Z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